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EDCC" w14:textId="77777777" w:rsidR="00114306" w:rsidRPr="00C12908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114306" w:rsidRPr="00C12908" w14:paraId="2182DDD8" w14:textId="77777777" w:rsidTr="00017A94">
        <w:trPr>
          <w:tblCellSpacing w:w="7" w:type="dxa"/>
        </w:trPr>
        <w:tc>
          <w:tcPr>
            <w:tcW w:w="10177" w:type="dxa"/>
            <w:vAlign w:val="bottom"/>
            <w:hideMark/>
          </w:tcPr>
          <w:p w14:paraId="0EC79D27" w14:textId="090FF823" w:rsidR="00114306" w:rsidRPr="00C12908" w:rsidRDefault="00F42276" w:rsidP="003D6666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Հավելված </w:t>
            </w:r>
          </w:p>
          <w:p w14:paraId="7BDF347E" w14:textId="77777777" w:rsidR="00F42276" w:rsidRDefault="00114306" w:rsidP="00F42276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ՀՀ </w:t>
            </w:r>
            <w:r w:rsidR="00F42276"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  <w:t xml:space="preserve">Սյունիքի մարզի Տեղ համայնքի ավագանու </w:t>
            </w:r>
          </w:p>
          <w:p w14:paraId="50C7F15A" w14:textId="432FA63F" w:rsidR="00114306" w:rsidRPr="00C12908" w:rsidRDefault="00F42276" w:rsidP="00F42276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  <w:t xml:space="preserve">2022թվականի մայիսի 18-ի </w:t>
            </w:r>
            <w:r>
              <w:rPr>
                <w:rFonts w:ascii="GHEA Grapalat" w:eastAsia="Times New Roman" w:hAnsi="GHEA Grapalat" w:cs="Times New Roman"/>
                <w:b/>
                <w:bCs/>
                <w:sz w:val="15"/>
                <w:lang w:val="en-US" w:eastAsia="ru-RU"/>
              </w:rPr>
              <w:t>N</w:t>
            </w:r>
            <w:bookmarkStart w:id="0" w:name="_GoBack"/>
            <w:bookmarkEnd w:id="0"/>
            <w:r w:rsidRPr="00F42276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 xml:space="preserve"> 30-</w:t>
            </w:r>
            <w:r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  <w:t>Ա որոշման</w:t>
            </w:r>
          </w:p>
        </w:tc>
      </w:tr>
    </w:tbl>
    <w:p w14:paraId="34855A45" w14:textId="77777777" w:rsidR="00114306" w:rsidRPr="00C12908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7AE4E8BF" w14:textId="49623A07" w:rsidR="00114306" w:rsidRPr="00C12908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</w:p>
    <w:p w14:paraId="3AC1E5DE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3B9C4081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746359F2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227E84E3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6ABCC890" w14:textId="77777777" w:rsidR="00017A94" w:rsidRPr="00C12908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7671CD1" w14:textId="77777777" w:rsidR="00114306" w:rsidRPr="00C12908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7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7074"/>
        <w:gridCol w:w="212"/>
      </w:tblGrid>
      <w:tr w:rsidR="00473845" w:rsidRPr="00C12908" w14:paraId="53B7B51E" w14:textId="77777777" w:rsidTr="00634A8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C97C54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38CC4" w14:textId="52212A04" w:rsidR="00473845" w:rsidRPr="00C12908" w:rsidRDefault="00A14E3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Սյունիքի մարզի Տեղ համայնք</w:t>
            </w:r>
            <w:r w:rsidR="00380910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խաղահրապարակ-ժամանցի կենտրոնի վերակառուցում, վերանորոգում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C048F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63804D8" w14:textId="77777777" w:rsidTr="00634A8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AC3190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65034" w14:textId="37B318FE" w:rsidR="00473845" w:rsidRPr="00C12908" w:rsidRDefault="003A1A1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Սյունիք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FD480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6F4BBFA" w14:textId="77777777" w:rsidTr="00634A8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1EC437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A1B1E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համայնք: Բնակավայրեր՝</w:t>
            </w:r>
          </w:p>
          <w:p w14:paraId="14CF1D07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</w:t>
            </w:r>
          </w:p>
          <w:p w14:paraId="689941D3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Արավուս</w:t>
            </w:r>
          </w:p>
          <w:p w14:paraId="5A7F22E7" w14:textId="3D022075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նիձոր</w:t>
            </w:r>
          </w:p>
          <w:p w14:paraId="5A6ADD4B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Քարաշեն</w:t>
            </w:r>
          </w:p>
          <w:p w14:paraId="50B87D3B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Խնածախ</w:t>
            </w:r>
          </w:p>
          <w:p w14:paraId="50A92B5B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Վաղատուր</w:t>
            </w:r>
          </w:p>
          <w:p w14:paraId="04F1239F" w14:textId="77777777" w:rsidR="00473845" w:rsidRPr="00C12908" w:rsidRDefault="00473845" w:rsidP="0069534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Խոզնավար</w:t>
            </w:r>
          </w:p>
          <w:p w14:paraId="31F02AE8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ADD32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538DD540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DC467A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89C4B" w14:textId="77777777" w:rsidR="00473845" w:rsidRPr="00C12908" w:rsidRDefault="00473845" w:rsidP="0069534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 Տեղ բնակավայր՝ Երևանից 255կմ, Կապանից 101կմ</w:t>
            </w:r>
          </w:p>
          <w:p w14:paraId="59E0F19D" w14:textId="77777777" w:rsidR="00473845" w:rsidRPr="00C12908" w:rsidRDefault="00473845" w:rsidP="0069534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2045B" w14:textId="77777777" w:rsidR="00473845" w:rsidRPr="00C12908" w:rsidRDefault="00473845" w:rsidP="0069534E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4D3B556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3AC8F4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BDDCF" w14:textId="77777777" w:rsidR="00473845" w:rsidRPr="00380910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spacing w:val="-6"/>
                <w:lang w:val="hy-AM"/>
              </w:rPr>
            </w:pPr>
            <w:r w:rsidRPr="00380910">
              <w:rPr>
                <w:rFonts w:ascii="GHEA Grapalat" w:hAnsi="GHEA Grapalat" w:cs="Arial"/>
                <w:i/>
                <w:spacing w:val="-6"/>
                <w:lang w:val="hy-AM"/>
              </w:rPr>
              <w:t>Տեղ համայնք՝</w:t>
            </w: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380910">
              <w:rPr>
                <w:rFonts w:ascii="GHEA Grapalat" w:hAnsi="GHEA Grapalat" w:cs="Cambria Math"/>
                <w:i/>
                <w:spacing w:val="-6"/>
                <w:lang w:val="hy-AM"/>
              </w:rPr>
              <w:t>5470</w:t>
            </w: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 xml:space="preserve"> </w:t>
            </w:r>
            <w:r w:rsidRPr="00380910">
              <w:rPr>
                <w:rFonts w:ascii="GHEA Grapalat" w:hAnsi="GHEA Grapalat" w:cs="Arial"/>
                <w:i/>
                <w:spacing w:val="-6"/>
                <w:lang w:val="hy-AM"/>
              </w:rPr>
              <w:t>մարդ</w:t>
            </w: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 xml:space="preserve">, </w:t>
            </w:r>
          </w:p>
          <w:p w14:paraId="70B90545" w14:textId="77777777" w:rsidR="00473845" w:rsidRPr="00380910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i/>
                <w:spacing w:val="-6"/>
                <w:lang w:val="hy-AM"/>
              </w:rPr>
            </w:pPr>
            <w:r w:rsidRPr="00380910">
              <w:rPr>
                <w:rFonts w:ascii="GHEA Grapalat" w:hAnsi="GHEA Grapalat"/>
                <w:i/>
                <w:spacing w:val="-6"/>
                <w:lang w:val="hy-AM"/>
              </w:rPr>
              <w:t>Տեղ բնակավայր՝ 2440 մարդ</w:t>
            </w:r>
          </w:p>
          <w:p w14:paraId="050C2C50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CB049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</w:p>
        </w:tc>
      </w:tr>
      <w:tr w:rsidR="00473845" w:rsidRPr="00F42276" w14:paraId="7E921A15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E095C3" w14:textId="77777777" w:rsidR="00473845" w:rsidRPr="00C12908" w:rsidRDefault="00473845" w:rsidP="003D6666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146F" w14:textId="54128BF6" w:rsidR="00473845" w:rsidRPr="00C12908" w:rsidRDefault="00473845" w:rsidP="003D666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Համաձայն ՀՀ կառավարության 1998 թվականի </w:t>
            </w:r>
            <w:r w:rsidR="003A1A15" w:rsidRPr="00C12908">
              <w:rPr>
                <w:rFonts w:ascii="GHEA Grapalat" w:hAnsi="GHEA Grapalat" w:cs="Arial"/>
                <w:i/>
                <w:spacing w:val="-6"/>
                <w:lang w:val="hy-AM"/>
              </w:rPr>
              <w:t>ն</w:t>
            </w: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>ոյեմբերի</w:t>
            </w:r>
            <w:r w:rsidR="003A1A15"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>17-ի «ՀՀ սահմանամերձ համայնքների ցանկը հաստատելու մասին» N</w:t>
            </w:r>
            <w:r w:rsidR="003A1A15"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i/>
                <w:spacing w:val="-6"/>
                <w:lang w:val="hy-AM"/>
              </w:rPr>
              <w:t xml:space="preserve">713 որոշման թիվ 1 հավելվածով հաստատված ցանկի Տեղ համայնքի Տեղ բնակավայրը հանդիսանում է սահմանամերձ: 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2C1D0" w14:textId="77777777" w:rsidR="00473845" w:rsidRPr="00C12908" w:rsidRDefault="00473845" w:rsidP="003D666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i/>
                <w:spacing w:val="-6"/>
                <w:lang w:val="hy-AM"/>
              </w:rPr>
            </w:pPr>
          </w:p>
        </w:tc>
      </w:tr>
      <w:tr w:rsidR="00473845" w:rsidRPr="00C12908" w14:paraId="7862DDDE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FF897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8B0F4" w14:textId="067858FF" w:rsidR="00473845" w:rsidRPr="00C12908" w:rsidRDefault="00BC04F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B978FA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27E7A93F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E67FB1" w14:textId="77777777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D6E76" w14:textId="77777777" w:rsidR="00473845" w:rsidRPr="00C12908" w:rsidRDefault="0047384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Այո</w:t>
            </w:r>
          </w:p>
          <w:p w14:paraId="4A437172" w14:textId="32B48A32" w:rsidR="00473845" w:rsidRPr="00C12908" w:rsidRDefault="003A1A1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2021թ մ</w:t>
            </w:r>
            <w:r w:rsidR="0047384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արտի 19</w:t>
            </w:r>
          </w:p>
          <w:p w14:paraId="1863EE52" w14:textId="66904ABC" w:rsidR="00473845" w:rsidRPr="00C12908" w:rsidRDefault="0047384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N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8-Ա ավագանու որոշում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A7357" w14:textId="77777777" w:rsidR="00473845" w:rsidRPr="00C12908" w:rsidRDefault="00473845" w:rsidP="003D666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</w:tc>
      </w:tr>
      <w:tr w:rsidR="00473845" w:rsidRPr="00F42276" w14:paraId="1DD0D5EE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54AB27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C129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3436EC2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3A0D9CA8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373FBDBC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235EB3EF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99B1D" w14:textId="70C987E3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Տեղ համայնքի Տեղ, Կո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նիձոր, Արավուս և Քարաշեն բնակավայրերում ջրամատակարարումն իրականացվում է «Վ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եո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լ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ի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 Ջուր»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ՓԲԸ-ի կողմից:</w:t>
            </w:r>
            <w:r w:rsidR="003A1A1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Այս 4 բնակավայրերում ջրամատակարարումը կախված է տարվա եղանակից: Սակավաջուր ամիսներին կամ երաշտի ժամանակ բնակիչները ջուր են ստանում ամսական 15 օր, օրական 5 ժամ: Մյուս երեք բնակավայրերում ջրամատակարարումը 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համայնքային է: Խոզնավար և Վաղատուր բնակավայրերում բնակիչների 99,2%-ի ջրամատակարարումն իրականացվում է շուրջօրյա: Խնածախ բնակավայրում բնակիչները ջուր են ստանում օրական 2 ժամ:</w:t>
            </w:r>
          </w:p>
          <w:p w14:paraId="6E305F5B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ջրահեռացման համակարգից օգտվում են միայն Կոռնիձոր բնակավայրում՝ 70,2% և Քարաշեն բնակավայրում՝ 88,7%:</w:t>
            </w:r>
          </w:p>
          <w:p w14:paraId="50C70C43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համայնքի բոլոր բնակավայրերի բնակչության 100% համար ստեղծված են գազամատակարարումից օգտվելու պայմաններ:</w:t>
            </w:r>
          </w:p>
          <w:p w14:paraId="7F2E4DF6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ոռոգման համակարգից օգտվելու հնարավորություն առկա է դրա անհրաժեշտությունն ունեցող բնակչության 1,2%-ի մոտ:</w:t>
            </w:r>
          </w:p>
          <w:p w14:paraId="2E71DE97" w14:textId="77777777" w:rsidR="00473845" w:rsidRPr="00C12908" w:rsidRDefault="00473845" w:rsidP="00367B6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ոռոգման ենթակա գյուղատնտեսական նշանակության հողերը կազմում են 1027,2 հա, որից փաստացի ոռոգվում են 120 հա, այսինքն՝ 11,68%:</w:t>
            </w:r>
          </w:p>
          <w:p w14:paraId="61750305" w14:textId="77777777" w:rsidR="00473845" w:rsidRPr="00C12908" w:rsidRDefault="00473845" w:rsidP="00367B6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համայնքում փողոցային լուսավորության համակարգ առկա է ընդհանուր փողոցների 90%-ում: Լուսավորության համակարգից օգտվող փողոցների 77,3% լուսավորությունը ԼԵԴ լուսավորություն է, 22,7%-ը՝ նեոնային: Առաջիկա մի քանի ամիսների ընթացքում համայնքի ամբողջ փողոցային լուսավորությունը կլինի ԼԵԴ լուսավորություն: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1D18C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F42276" w14:paraId="505F3E51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ABDEC7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E77E6" w14:textId="781637E8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համայնքը Սյունիքի մարզի սահմանամերձ համայնքներից է և գտնվում է Գորիս քաղաքից 20կմ հեռավորության վրա: Համայնքի խոշորացման արդյունքում Տեղ համայնքը միավորում է Տեղ, Արավուս, Կո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նիձոր, Քարաշեն, Խնածախ, Վաղատուր և Խոզնավար գյուղերը: Ունի 5400 բնակիչ:</w:t>
            </w:r>
          </w:p>
          <w:p w14:paraId="079A72EC" w14:textId="2C7A9556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Տեղ գյուղը համարվում է համայնքի կենտրոնանիստ գյուղ և տարծքով ու բնակչության թվով ամենամեծն է, սակայն բնակիչների սոցիալ-մշակությաին և ժամանցային հնարավո</w:t>
            </w:r>
            <w:r w:rsidR="007B1F7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րու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թյունները բացակայում են: Գյուղում անհրաժեշտ է լավ կահավորված ժամանակակից խաղահրապարակ, որը կապահովի  երեխաների ժամանցը:</w:t>
            </w:r>
          </w:p>
          <w:p w14:paraId="4B377C55" w14:textId="77777777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Այս ծրագրով նախատեսվում է հիմնել խաղահրապարակ-ժամանցի կենտրոն՝ խաղասարքերով, լողավազանով և շատրվանով, որը կապահովի սոցիալ-մշակութային կյանքի աշխուժացում:</w:t>
            </w:r>
          </w:p>
          <w:p w14:paraId="2AA9B65A" w14:textId="106CB683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Լողավազանն ու խաղասարքերը կավահովի երեխաների հետաքրքիր ժամանցը, իսկ շատրվանները իրենց գեղեցկությամբ է</w:t>
            </w:r>
            <w:r w:rsidR="00AD154E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լ ավելի վայելուչ տեսք կհաղորդեն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իսկ հանգստյան օրերին կկազմակերպվեն համերգ-միջոցառումներ, որոնք արդեն նպատակ կունենան փոքր-ինչ թոթափել բնակիչների սոցիալական ծանր բեռն ու լարվածությունը: Կձևավորվի նոր ենթամշակույթ և ծնողները ստիպված չեն լինի երեխաների ժամանցը կազմակերպելու համար նրանց տեղափոխել Գորիս:</w:t>
            </w:r>
          </w:p>
          <w:p w14:paraId="4BC55CA2" w14:textId="77777777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Կստեղծվի հաճելի և տրամադրող մթնոլորտ, որտեղ կկարևորվի «հաճելին օգտակարի հետ» համատեղելու գաղափարը: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F86B2" w14:textId="77777777" w:rsidR="00473845" w:rsidRPr="00C12908" w:rsidRDefault="00473845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F42276" w14:paraId="4C8618BA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E699BE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ակնկալվող արդյունքները, որոնց միջոցով 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պետք է հասնել ծրագրի իրականացման նպատակին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4F293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Ծրագրի իրականացման արդյունքում՝</w:t>
            </w:r>
          </w:p>
          <w:p w14:paraId="27FAE89D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lastRenderedPageBreak/>
              <w:t>Կստեղծվի 2 նոր հիմնական աշխատատեղ</w:t>
            </w:r>
          </w:p>
          <w:p w14:paraId="5FBAA87F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Ծնողները հնարավուոթյուն կունենան երեխաների ժամանցը կազմակերպել գյուղում</w:t>
            </w:r>
          </w:p>
          <w:p w14:paraId="16DF0BB2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Համայնքը հնարավորություն կունենա հյուրընկալելու նոր մշակութային միջոցառումներ</w:t>
            </w:r>
          </w:p>
          <w:p w14:paraId="05D0734D" w14:textId="77777777" w:rsidR="00473845" w:rsidRPr="00C12908" w:rsidRDefault="00473845" w:rsidP="00367B6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Ծրագրի բարեհաջող կատարման արդյունքում պլանավորվում է ժամանցի կենտրոնին կից բացել լողի և նետաձգության խմբակներ: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3F6F7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F42276" w14:paraId="7CFB7C4F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6F7DD9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BC55A" w14:textId="2C63F694" w:rsidR="00473845" w:rsidRPr="00C12908" w:rsidRDefault="00473845" w:rsidP="00634A8B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Ծրագրի վերջնական արդյունքին հասնելու համար անհրաժեշտ է </w:t>
            </w:r>
            <w:r w:rsidR="00AD154E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բարեկարգել Տեղ գյուղի 34րդ փողոց թիվ 4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հասցեում գտնվող 50ք/մ տարածքը, այնուհետև վերանորոգել 60ք/մ տարածք զբաղեցնող լողավազանը, իսկ լողավազանի ներսում կառուցել գեղեցիկ շատրվաններ՝ նորագույն մոտեցումներով և վերջնական փուլում տեղադ</w:t>
            </w:r>
            <w:r w:rsidR="00634A8B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րել խաղասարքերն ու զրուցասրահը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ինչպես երևում է նկարներում, որի արդյունքում էլ վերջնական պատրաստ կլինի խաղահրապարակն ու ժամանցային կենտրոնը: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0EC72B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F42276" w14:paraId="61D7B3EC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DCE2A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0E9FA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Ծրագրի իրականացումը դրական ազդեցություն կունենա համայնքային սեփականության իրավունքով պատկանող հիմնական միջոցների  արժեքի վրա, մասնավորապես վայրը, որտեղ կառուցվելու է խաղահրապարակ: </w:t>
            </w:r>
          </w:p>
          <w:p w14:paraId="1F4D0193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Ժամանցային կենտրոնը սեփականության իրավունքով պատկանում է համայնքին:</w:t>
            </w:r>
          </w:p>
          <w:p w14:paraId="684231A7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Նշեմ նաև, որ ծրագրով նախատեսվող բոլոր ծախսերը կապիտալ բնույթի ծախսեր են: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7B7EC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F42276" w14:paraId="0C575915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1E40BF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6BB53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շահառուներ են հանդիսանում  Տեղ խոշորացված համայնքի  թվով 5470 բնակիչները, հյուրերը և Տեղ ժամանած բոլոր զբոսաշրջիկները:</w:t>
            </w:r>
          </w:p>
          <w:p w14:paraId="116D3420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Վայրը, որտեղ կառուցվելու է խաղահրապարակ-ժամանցային կենտրոնը մոտ 800մ հեռավորության վրա է գտնվում  զբոսաշրջային կենտրոն և պատմամշակութային ժառանգություն համարվող Սբ Գևորգ եկեղեցուց, Մելիք Բարխուդարի ամարաթից, ինչպես նաև հինավուրց քարանձավներից և հին գյուղատեղից, որը կապահովի նաև զբոսաշրջիկների երեկոյան ժամանցն ու հանգիստը: Տեղ տարեկան այցելում է մոտ 1000 զբոսաշրջիկ:</w:t>
            </w:r>
          </w:p>
          <w:p w14:paraId="2575625A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Այս ծրագրի քույր-զբոսաշրջային այլ ծրագրերի կատարման արդյունքում կանխատեսվում է, որ մինչև 2023թ-ը զբոսաշրջիկների թիվը կհնգապատկվի՝ հասնելով 5000-ի:</w:t>
            </w:r>
          </w:p>
          <w:p w14:paraId="234AEF6A" w14:textId="77777777" w:rsidR="00473845" w:rsidRPr="00C12908" w:rsidRDefault="00473845" w:rsidP="00860C13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CF6B62" w14:textId="77777777" w:rsidR="00473845" w:rsidRPr="00C12908" w:rsidRDefault="00473845" w:rsidP="00860C13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61B3FE98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01433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D2F02" w14:textId="11F76502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արդյունքում կստեղծվի 2 նոր հիմնական աշխատատեղ:</w:t>
            </w:r>
            <w:r w:rsidR="00BC04F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Ինչպես նաև ժամանակ</w:t>
            </w:r>
            <w:r w:rsidR="00AD154E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</w:t>
            </w:r>
            <w:r w:rsidR="00BC04F5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վոր 20 նոր աշխատատեղ շինարարության ընթացքում:</w:t>
            </w:r>
          </w:p>
          <w:p w14:paraId="1A81543E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Հետագայում լողի և նետաձգության խմբակների բացումով կստեղծվի ևս 4 աշխատատեղ,որոնք ներառելու են՝</w:t>
            </w:r>
          </w:p>
          <w:p w14:paraId="6E89934E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-Խաղահրապարակի մշակութային պատասխանատու</w:t>
            </w:r>
          </w:p>
          <w:p w14:paraId="2EE50DCD" w14:textId="08DF7491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-Հավաքարար-</w:t>
            </w:r>
            <w:r w:rsidR="00FC2BF2"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</w:t>
            </w:r>
          </w:p>
          <w:p w14:paraId="244F2BB2" w14:textId="7F87972B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-Լողի խմբակավար-2</w:t>
            </w:r>
          </w:p>
          <w:p w14:paraId="0FBF4B2E" w14:textId="16594553" w:rsidR="00FC2BF2" w:rsidRPr="00C12908" w:rsidRDefault="00FC2BF2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-նետաձգություն -2</w:t>
            </w:r>
          </w:p>
          <w:p w14:paraId="0C4C0450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E30D3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473845" w:rsidRPr="00C12908" w14:paraId="36A5302F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13AF54B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1238C" w14:textId="4D584486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Նախորդ տարվա բյուջեն` </w:t>
            </w:r>
            <w:r w:rsidR="00C12908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227570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300 ՀՀ դրամ.</w:t>
            </w:r>
            <w:r w:rsidRPr="00C1290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1473"/>
              <w:gridCol w:w="1549"/>
              <w:gridCol w:w="1065"/>
            </w:tblGrid>
            <w:tr w:rsidR="00473845" w:rsidRPr="00C12908" w14:paraId="4E8166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1DA1E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7FD6C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1D30D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A8A1D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473845" w:rsidRPr="00C12908" w14:paraId="7C933F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351A06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344A7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8D153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235C29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7E1AF6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649F2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F8D2C" w14:textId="5CEE6D65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227570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7BD08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BB2E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329C2C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818AF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BE18B3" w14:textId="2D57FEBF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8091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65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24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C6708F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D8D625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A852C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583A5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A8175F" w14:textId="04071731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31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928935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958DD3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6EAA3A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7477AE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BCF69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F0BF64" w14:textId="6B805476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259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999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B4DC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374E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1C42AB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703FD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10BAFB" w14:textId="70874801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227570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2004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30ABFC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51C9C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B570F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CA86C" w14:textId="091FCDF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31928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62383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CF7D6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25295C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6E4B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C129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72292F" w14:textId="1B8CF536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eastAsia="ru-RU"/>
                    </w:rPr>
                    <w:t>31928</w:t>
                  </w:r>
                  <w:r w:rsidRPr="00C12908">
                    <w:rPr>
                      <w:rFonts w:ascii="GHEA Grapalat" w:eastAsia="Times New Roman" w:hAnsi="GHEA Grapalat" w:cs="Calibri"/>
                      <w:lang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2D9F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900C0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3B481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C30890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2C55B3" w14:textId="258C508A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8400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E0A89D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B1812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47FF78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CB4953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8C9AD" w14:textId="2B893278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20284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DA121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4B3A1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488B46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B1C2DE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D8FCB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25415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094DB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0EADC5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163499" w14:textId="77777777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ECA5E0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4697A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F44C2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2A78F5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8674B7" w14:textId="77777777" w:rsidR="00473845" w:rsidRPr="00C12908" w:rsidRDefault="00473845" w:rsidP="00E470C1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3860A8" w14:textId="7197051A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38091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1800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E0CE24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1355D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67336F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D930A" w14:textId="6BF7D200" w:rsidR="00473845" w:rsidRPr="00C12908" w:rsidRDefault="00473845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նախ</w:t>
                  </w:r>
                  <w:r w:rsidR="00C12908"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ա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դպրոցական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DEE3FE" w14:textId="4251DD3B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1449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D3667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CF0ED" w14:textId="77777777" w:rsidR="00473845" w:rsidRPr="00C12908" w:rsidRDefault="00473845" w:rsidP="00860C13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14:paraId="3B5B3597" w14:textId="77777777" w:rsidR="00473845" w:rsidRPr="00C12908" w:rsidRDefault="00473845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23BA0C" w14:textId="77777777" w:rsidR="00473845" w:rsidRPr="00C12908" w:rsidRDefault="00473845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</w:tc>
      </w:tr>
      <w:tr w:rsidR="00473845" w:rsidRPr="00C12908" w14:paraId="74CF6915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363C09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C129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C12908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A119F" w14:textId="4E131631" w:rsidR="00473845" w:rsidRPr="00C12908" w:rsidRDefault="00C1290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275833</w:t>
            </w:r>
            <w:r w:rsidR="00473845" w:rsidRPr="00C12908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000 ՀՀ</w:t>
            </w:r>
            <w:r w:rsidR="00473845" w:rsidRPr="00C12908">
              <w:rPr>
                <w:rFonts w:ascii="GHEA Grapalat" w:eastAsia="Times New Roman" w:hAnsi="GHEA Grapalat" w:cs="Calibri"/>
                <w:b/>
                <w:bCs/>
                <w:iCs/>
                <w:lang w:eastAsia="ru-RU"/>
              </w:rPr>
              <w:t xml:space="preserve">  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դրամ.</w:t>
            </w:r>
            <w:r w:rsidR="00473845" w:rsidRPr="00C1290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1577"/>
            </w:tblGrid>
            <w:tr w:rsidR="00473845" w:rsidRPr="00C12908" w14:paraId="090F4D04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72A70D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7F7098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473845" w:rsidRPr="00C12908" w14:paraId="4C119DF1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A451B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09EE8E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1A989A5F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51704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B0E6F2" w14:textId="213B2CAE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238021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700</w:t>
                  </w:r>
                </w:p>
              </w:tc>
            </w:tr>
            <w:tr w:rsidR="00473845" w:rsidRPr="00C12908" w14:paraId="4041AF67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6FAC9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FEDC6" w14:textId="2D08A060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75360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500BCA7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2E087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C7A47" w14:textId="07A62290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37812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77933BC5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62F472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8A29D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6045E42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8F37E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521D96" w14:textId="6E05CA6F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275833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61A478B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4E6BC7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9B9A9" w14:textId="7551212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37812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3E4A6DA5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B7C2BE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Համայնքի ֆոնդային բյուջեի պլանավորված ծախսերը,</w:t>
                  </w:r>
                  <w:r w:rsidRPr="00C129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B6F10E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73845" w:rsidRPr="00C12908" w14:paraId="292D71C1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5D1853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ընդհանուր բնույթի հանրային ծառայություններ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B09A3" w14:textId="4483F42D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80910"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840</w:t>
                  </w:r>
                  <w:r w:rsid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</w:t>
                  </w:r>
                  <w:r w:rsidRPr="00380910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4B63F0B4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71D427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ջրամատակարարում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E4AA3E" w14:textId="24D1CDF4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20284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5CE39F66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15FD9C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12908">
                    <w:rPr>
                      <w:rFonts w:ascii="GHEA Grapalat" w:hAnsi="GHEA Grapalat" w:cs="Sylfaen"/>
                    </w:rPr>
                    <w:t xml:space="preserve"> </w:t>
                  </w:r>
                  <w:r w:rsidRPr="00C12908">
                    <w:rPr>
                      <w:rFonts w:ascii="GHEA Grapalat" w:eastAsia="Times New Roman" w:hAnsi="GHEA Grapalat" w:cs="Times New Roman"/>
                      <w:lang w:eastAsia="ru-RU"/>
                    </w:rPr>
                    <w:t>մշակույթ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F29CD" w14:textId="08113581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1800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000</w:t>
                  </w:r>
                </w:p>
              </w:tc>
            </w:tr>
            <w:tr w:rsidR="00473845" w:rsidRPr="00C12908" w14:paraId="5740ACA4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6E48C" w14:textId="1D403BD2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Pr="00C12908">
                    <w:rPr>
                      <w:rFonts w:ascii="GHEA Grapalat" w:hAnsi="GHEA Grapalat" w:cs="Sylfaen"/>
                    </w:rPr>
                    <w:t xml:space="preserve"> 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նախ</w:t>
                  </w:r>
                  <w:r w:rsidR="00C12908" w:rsidRPr="00C12908">
                    <w:rPr>
                      <w:rFonts w:ascii="GHEA Grapalat" w:eastAsia="Times New Roman" w:hAnsi="GHEA Grapalat" w:cs="Times New Roman"/>
                      <w:i/>
                      <w:iCs/>
                      <w:lang w:val="hy-AM" w:eastAsia="ru-RU"/>
                    </w:rPr>
                    <w:t>ա</w:t>
                  </w: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դպրոցական կրթություն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5A9631" w14:textId="1D6CA4B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C12908"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1444</w:t>
                  </w:r>
                  <w:r w:rsidRPr="00C12908">
                    <w:rPr>
                      <w:rFonts w:ascii="GHEA Grapalat" w:eastAsia="Times New Roman" w:hAnsi="GHEA Grapalat" w:cs="Calibri"/>
                      <w:lang w:val="hy-AM" w:eastAsia="ru-RU"/>
                    </w:rPr>
                    <w:t>935</w:t>
                  </w:r>
                </w:p>
              </w:tc>
            </w:tr>
            <w:tr w:rsidR="00473845" w:rsidRPr="00C12908" w14:paraId="03E841B2" w14:textId="77777777" w:rsidTr="00E470C1">
              <w:trPr>
                <w:tblCellSpacing w:w="0" w:type="dxa"/>
              </w:trPr>
              <w:tc>
                <w:tcPr>
                  <w:tcW w:w="5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2BFD6C" w14:textId="77777777" w:rsidR="00473845" w:rsidRPr="00C12908" w:rsidRDefault="00473845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A5FD04" w14:textId="77777777" w:rsidR="00473845" w:rsidRPr="00C12908" w:rsidRDefault="00473845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1290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14:paraId="002D08D5" w14:textId="77777777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88B93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</w:p>
        </w:tc>
      </w:tr>
      <w:tr w:rsidR="00473845" w:rsidRPr="00F42276" w14:paraId="4BEDFFB6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FF3B5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399D3" w14:textId="362D7A3D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Calibri"/>
                <w:i/>
                <w:lang w:val="hy-AM" w:eastAsia="ru-RU"/>
              </w:rPr>
            </w:pPr>
            <w:r w:rsidRPr="00C12908">
              <w:rPr>
                <w:rFonts w:ascii="Calibri" w:eastAsia="Times New Roman" w:hAnsi="Calibri" w:cs="Calibri"/>
                <w:i/>
                <w:lang w:eastAsia="ru-RU"/>
              </w:rPr>
              <w:t> 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Համայնքի ընթացիկ տարվա բյուջեի նախագծով կանխատեսվող բյուջետային մուտքերի/ ներառյալ ֆինանսական համահարթեցման դոտացիայի գծով կանխատեսվող մուտքերը/ հաշվին նստած ծրագիրը հնարավոր չէր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իր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ականացնել, քանի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որ բյուջետային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մո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ւ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տքերն ուղղվում են Տեղի համայնքապետարանի և ենթակա 4 համայնքային ոչ առևտրային կազմակերպությունների պահպանմանը/այդ թվում՝ աշխատավարձերի վճարում/ և համայնքի մյուս պարտադիր խնդիրների լուծմանը:</w:t>
            </w:r>
          </w:p>
          <w:p w14:paraId="1680EFBF" w14:textId="72BF9739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Տեղ համայնքի 2022թ բյուջեի ֆոնդային մասը կազմում է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37812000 ՀՀ դրամ, որից 4500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ՀՀ դրամը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կտրամադրվի 2022թ սուբվենցիոն ծրագրի իրականացմանը, այդ թվում՝ աշխատանքների իրականացում, շինարարական օբյեկտների նախագծում, նախագծա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-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նախահաշվարկային փաստաթղթերի պետական փորձաքննություն, տեխնիկական հսկողություն, շենք-շինությունների տեխնիկական վիճակի վերաբերյալ փորձաքննություն, վերանորոգում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։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2450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000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ՀՀ դրամ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՝ Քարաշեն բնակավայրի վարչական շենքի բարեկարգում,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     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5284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000 ՀՀ դրամ Տեղի 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ոռոգման ցանցի վերակառուցում, 4284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ՀՀ դրամ՝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Կո</w:t>
            </w:r>
            <w:r w:rsidR="00FC2BF2"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ր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նիձորի ոռոգմ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ան ներքին ցանցի վերանորոգում, 4500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 ՀՀ դրամ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՝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Քարաշենի վարչական շենքի տանիքի վեր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անորոգում, 5500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 ՀՀ դրամ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՝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 xml:space="preserve"> Մելիք Բարխու</w:t>
            </w:r>
            <w:r w:rsid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դարի ամարաթի վերանորոգում և 11294</w:t>
            </w:r>
            <w:r w:rsidRPr="00C12908">
              <w:rPr>
                <w:rFonts w:ascii="GHEA Grapalat" w:eastAsia="Times New Roman" w:hAnsi="GHEA Grapalat" w:cs="Calibri"/>
                <w:i/>
                <w:lang w:val="hy-AM" w:eastAsia="ru-RU"/>
              </w:rPr>
              <w:t>000 ՀՀ դրամ նոր հացահատիկային կոմայների ձեռք բերում: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A3FC9" w14:textId="77777777" w:rsidR="00473845" w:rsidRPr="00C12908" w:rsidRDefault="00473845" w:rsidP="00114306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</w:tr>
      <w:tr w:rsidR="00473845" w:rsidRPr="00F42276" w14:paraId="3D4E19AC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77CAC1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14:paraId="02A9F53B" w14:textId="218025ED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շինարարական օբյեկտների նախագծման արժեքը</w:t>
            </w:r>
            <w:r w:rsidR="008F31BE"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  <w:p w14:paraId="4D3184DE" w14:textId="1B2725A0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C12908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C12908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ծառայության արժեքը՝ </w:t>
            </w:r>
          </w:p>
          <w:p w14:paraId="7FC30779" w14:textId="01BF8172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12908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C12908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C12908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C129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C129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C129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12908">
              <w:rPr>
                <w:rFonts w:ascii="GHEA Grapalat" w:hAnsi="GHEA Grapalat" w:cs="Arial"/>
                <w:b/>
                <w:lang w:val="hy-AM"/>
              </w:rPr>
              <w:t>արժեքը՝</w:t>
            </w:r>
          </w:p>
          <w:p w14:paraId="7802A118" w14:textId="7F477354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</w:p>
          <w:p w14:paraId="17EB048A" w14:textId="37B3B65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</w:p>
          <w:p w14:paraId="2E19EE7C" w14:textId="4DEE4916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վիճակի վերաբերյալ փորձաքննության ծառայության արժեքը՝</w:t>
            </w:r>
          </w:p>
          <w:p w14:paraId="33DEE869" w14:textId="3D46A589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 </w:t>
            </w:r>
          </w:p>
          <w:p w14:paraId="0986C410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B5EA" w14:textId="643BE0E6" w:rsidR="0048354E" w:rsidRPr="00C12908" w:rsidRDefault="00380910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380910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>1000</w:t>
            </w:r>
            <w:r w:rsidR="00473845" w:rsidRPr="00380910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0000 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ՀՀ դրամ (100%)</w:t>
            </w:r>
          </w:p>
          <w:p w14:paraId="41A9CD7D" w14:textId="2FB22400" w:rsidR="00A44F81" w:rsidRDefault="00A44F81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շինարարական օբյեկտների նախագծման արժեքը 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100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դրամ,</w:t>
            </w:r>
          </w:p>
          <w:p w14:paraId="601BEC44" w14:textId="77777777" w:rsidR="00C12908" w:rsidRPr="00C12908" w:rsidRDefault="00C12908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14:paraId="6D8845CE" w14:textId="1DF590BF" w:rsidR="008F31BE" w:rsidRPr="009B5483" w:rsidRDefault="0048354E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/>
                <w:lang w:val="hy-AM" w:eastAsia="ru-RU"/>
              </w:rPr>
              <w:t>-</w:t>
            </w:r>
            <w:r w:rsidR="008F31BE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="008F31BE" w:rsidRPr="00C12908"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="008F31BE" w:rsidRPr="00C12908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ծառայության արժեքը՝ </w:t>
            </w:r>
            <w:r w:rsidR="00C12908" w:rsidRPr="00C12908">
              <w:rPr>
                <w:rFonts w:ascii="GHEA Grapalat" w:eastAsia="Times New Roman" w:hAnsi="GHEA Grapalat" w:cs="Arial Unicode"/>
                <w:bCs/>
                <w:lang w:val="hy-AM" w:eastAsia="ru-RU"/>
              </w:rPr>
              <w:t>50</w:t>
            </w:r>
            <w:r w:rsidR="009B5483" w:rsidRPr="009B5483">
              <w:rPr>
                <w:rFonts w:ascii="GHEA Grapalat" w:eastAsia="Times New Roman" w:hAnsi="GHEA Grapalat" w:cs="Arial Unicode"/>
                <w:bCs/>
                <w:lang w:val="hy-AM" w:eastAsia="ru-RU"/>
              </w:rPr>
              <w:t>0</w:t>
            </w:r>
            <w:r w:rsidR="008F31BE" w:rsidRPr="00C12908">
              <w:rPr>
                <w:rFonts w:ascii="GHEA Grapalat" w:eastAsia="Times New Roman" w:hAnsi="GHEA Grapalat" w:cs="Arial Unicode"/>
                <w:bCs/>
                <w:lang w:val="hy-AM" w:eastAsia="ru-RU"/>
              </w:rPr>
              <w:t>000 ՀՀ դրամ</w:t>
            </w:r>
            <w:r w:rsidR="008F31BE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,</w:t>
            </w:r>
            <w:r w:rsidR="009B5483" w:rsidRPr="009B5483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9B5483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որն իրականացվում է  համայնքապետարանի կողմից՝ համաներդրմամբ</w:t>
            </w:r>
          </w:p>
          <w:p w14:paraId="1DEC40FA" w14:textId="77777777" w:rsidR="00C12908" w:rsidRDefault="00C12908" w:rsidP="00A44F81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lang w:val="hy-AM"/>
              </w:rPr>
            </w:pPr>
          </w:p>
          <w:p w14:paraId="52B2EA9E" w14:textId="1B81D24C" w:rsidR="008F31BE" w:rsidRPr="00C12908" w:rsidRDefault="00C12908" w:rsidP="00A44F81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i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-</w:t>
            </w:r>
            <w:r w:rsidR="008F31BE" w:rsidRPr="00C12908">
              <w:rPr>
                <w:rFonts w:ascii="GHEA Grapalat" w:hAnsi="GHEA Grapalat" w:cs="Arial"/>
                <w:lang w:val="hy-AM"/>
              </w:rPr>
              <w:t>ինժեներաերկրա</w:t>
            </w:r>
            <w:r w:rsidR="008F31BE" w:rsidRPr="00C12908">
              <w:rPr>
                <w:rFonts w:ascii="GHEA Grapalat" w:hAnsi="GHEA Grapalat" w:cs="Arial"/>
                <w:lang w:val="hy-AM"/>
              </w:rPr>
              <w:softHyphen/>
              <w:t>բա</w:t>
            </w:r>
            <w:r w:rsidR="008F31BE" w:rsidRPr="00C12908">
              <w:rPr>
                <w:rFonts w:ascii="GHEA Grapalat" w:hAnsi="GHEA Grapalat" w:cs="Arial"/>
                <w:lang w:val="hy-AM"/>
              </w:rPr>
              <w:softHyphen/>
              <w:t>նական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 </w:t>
            </w:r>
            <w:r w:rsidR="008F31BE" w:rsidRPr="00C12908">
              <w:rPr>
                <w:rFonts w:ascii="GHEA Grapalat" w:hAnsi="GHEA Grapalat" w:cs="Arial"/>
                <w:lang w:val="hy-AM"/>
              </w:rPr>
              <w:t>հետազոտության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 </w:t>
            </w:r>
            <w:r w:rsidR="008F31BE" w:rsidRPr="00C12908">
              <w:rPr>
                <w:rFonts w:ascii="GHEA Grapalat" w:hAnsi="GHEA Grapalat" w:cs="Arial"/>
                <w:lang w:val="hy-AM"/>
              </w:rPr>
              <w:t>ծառայության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 </w:t>
            </w:r>
            <w:r w:rsidR="008F31BE" w:rsidRPr="00C12908">
              <w:rPr>
                <w:rFonts w:ascii="GHEA Grapalat" w:hAnsi="GHEA Grapalat" w:cs="Arial"/>
                <w:lang w:val="hy-AM"/>
              </w:rPr>
              <w:t>արժեքը՝</w:t>
            </w:r>
            <w:r w:rsidRPr="00C12908">
              <w:rPr>
                <w:rFonts w:ascii="GHEA Grapalat" w:hAnsi="GHEA Grapalat" w:cs="Sylfaen"/>
                <w:lang w:val="hy-AM"/>
              </w:rPr>
              <w:t xml:space="preserve"> 50</w:t>
            </w:r>
            <w:r w:rsidR="008F31BE" w:rsidRPr="00C12908">
              <w:rPr>
                <w:rFonts w:ascii="GHEA Grapalat" w:hAnsi="GHEA Grapalat" w:cs="Sylfaen"/>
                <w:lang w:val="hy-AM"/>
              </w:rPr>
              <w:t xml:space="preserve">000 ՀՀ </w:t>
            </w:r>
            <w:r w:rsidR="008F31BE" w:rsidRPr="00C12908">
              <w:rPr>
                <w:rFonts w:ascii="GHEA Grapalat" w:hAnsi="GHEA Grapalat" w:cs="Arial"/>
                <w:lang w:val="hy-AM"/>
              </w:rPr>
              <w:t>դրամ</w:t>
            </w:r>
          </w:p>
          <w:p w14:paraId="32204241" w14:textId="26B94914" w:rsidR="008F31BE" w:rsidRPr="00C12908" w:rsidRDefault="008F31BE" w:rsidP="00A44F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120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դրամ,</w:t>
            </w:r>
          </w:p>
          <w:p w14:paraId="7CE2D5D7" w14:textId="77777777" w:rsidR="00C12908" w:rsidRDefault="008F31BE" w:rsidP="00C129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- հեղինակային հսկողությ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ան ծառայությունների արժեքը՝ 80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 դրամ,</w:t>
            </w:r>
          </w:p>
          <w:p w14:paraId="34CC0B5E" w14:textId="6FD5EC9A" w:rsidR="008F31BE" w:rsidRPr="00C12908" w:rsidRDefault="008F31BE" w:rsidP="00C129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lastRenderedPageBreak/>
              <w:t xml:space="preserve">գոյություն ունեցող շենք-շինությունների տեխնիկական վիճակի վերաբերյալ փորձաքննության </w:t>
            </w:r>
            <w:r w:rsidR="00C12908"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ծառայության արժեքը՝ 70</w:t>
            </w:r>
            <w:r w:rsidRPr="00C1290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 ՀՀ դրամ,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CD7C3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</w:tc>
      </w:tr>
      <w:tr w:rsidR="00473845" w:rsidRPr="00C12908" w14:paraId="148DBBFA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3BC069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16FB0" w14:textId="5576CCE7" w:rsidR="00473845" w:rsidRPr="00C12908" w:rsidRDefault="00C1290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4500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000 ՀՀ 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դրամ (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45</w:t>
            </w:r>
            <w:r w:rsidR="00473845" w:rsidRPr="00C12908">
              <w:rPr>
                <w:rFonts w:ascii="GHEA Grapalat" w:eastAsia="Times New Roman" w:hAnsi="GHEA Grapalat" w:cs="Arial Unicode"/>
                <w:iCs/>
                <w:lang w:eastAsia="ru-RU"/>
              </w:rPr>
              <w:t>%</w:t>
            </w:r>
            <w:r w:rsidR="00473845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)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66A02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</w:tc>
      </w:tr>
      <w:tr w:rsidR="00473845" w:rsidRPr="00C12908" w14:paraId="1C90DEC0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711301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2D525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Այլ ներդրողներ չկան</w:t>
            </w:r>
          </w:p>
          <w:p w14:paraId="56E7C6BB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FC90E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</w:p>
        </w:tc>
      </w:tr>
      <w:tr w:rsidR="00473845" w:rsidRPr="00C12908" w14:paraId="619CEAB2" w14:textId="77777777" w:rsidTr="0047384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BE3C38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933B2" w14:textId="0B69771B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>Սկիզբը___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01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.0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8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</w:t>
            </w: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2022թ. 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46E0F72D" w14:textId="106CF565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Ավարտ 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01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.1</w:t>
            </w:r>
            <w:r w:rsidR="008F31BE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.2022</w:t>
            </w:r>
            <w:r w:rsidR="00C12908"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թ. </w:t>
            </w:r>
            <w:r w:rsidR="00C12908"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3F774613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Տևողությունը </w:t>
            </w:r>
            <w:r w:rsidRPr="00C1290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120 օր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820B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</w:pPr>
          </w:p>
        </w:tc>
      </w:tr>
      <w:tr w:rsidR="00473845" w:rsidRPr="00C12908" w14:paraId="60C80C09" w14:textId="77777777" w:rsidTr="0033459A">
        <w:trPr>
          <w:trHeight w:val="43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E4880D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  <w:p w14:paraId="087A9E10" w14:textId="77777777" w:rsidR="00C8435E" w:rsidRPr="00C12908" w:rsidRDefault="00C8435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</w:pPr>
          </w:p>
          <w:p w14:paraId="630E7D6A" w14:textId="7CDC4D6B" w:rsidR="00C8435E" w:rsidRPr="00C12908" w:rsidRDefault="00C8435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29782" w14:textId="5D8C13AB" w:rsidR="0033459A" w:rsidRPr="00C12908" w:rsidRDefault="008F31BE" w:rsidP="0033459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12908">
              <w:rPr>
                <w:rFonts w:ascii="GHEA Grapalat" w:eastAsia="Times New Roman" w:hAnsi="GHEA Grapalat" w:cs="Times New Roman"/>
                <w:lang w:val="hy-AM" w:eastAsia="ru-RU"/>
              </w:rPr>
              <w:t xml:space="preserve">Ծրագրի ամբողջական </w:t>
            </w:r>
            <w:r w:rsidR="0033459A" w:rsidRPr="00C12908">
              <w:rPr>
                <w:rFonts w:ascii="GHEA Grapalat" w:eastAsia="Times New Roman" w:hAnsi="GHEA Grapalat" w:cs="Times New Roman"/>
                <w:lang w:val="hy-AM" w:eastAsia="ru-RU"/>
              </w:rPr>
              <w:t>ծախսերն ու նախագծա-նախահաշվարկային աշխատանքները կներկայցվեն ծրագրի հաջորդ փուլում։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B311E" w14:textId="77777777" w:rsidR="00473845" w:rsidRPr="00C12908" w:rsidRDefault="00473845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</w:tc>
      </w:tr>
      <w:tr w:rsidR="00473845" w:rsidRPr="00C12908" w14:paraId="178F592D" w14:textId="77777777" w:rsidTr="0033459A">
        <w:trPr>
          <w:trHeight w:val="43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82A1B0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12908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7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1D6C6" w14:textId="19584584" w:rsidR="00473845" w:rsidRPr="00C12908" w:rsidRDefault="00C1290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20</w:t>
            </w:r>
            <w:r w:rsidR="00473845" w:rsidRPr="00C1290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.01.2022թ.</w:t>
            </w:r>
          </w:p>
        </w:tc>
        <w:tc>
          <w:tcPr>
            <w:tcW w:w="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92AE5" w14:textId="77777777" w:rsidR="00473845" w:rsidRPr="00C12908" w:rsidRDefault="00473845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</w:tc>
      </w:tr>
    </w:tbl>
    <w:p w14:paraId="715CDFD9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3047322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Այլ տեղեկություններ ծրագրի մասին</w:t>
      </w:r>
      <w:r w:rsidRPr="00C12908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C12908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14:paraId="2CC19706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9CB9973" w14:textId="77777777" w:rsidR="00146B73" w:rsidRPr="00C12908" w:rsidRDefault="00146B73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sz w:val="21"/>
          <w:szCs w:val="21"/>
          <w:lang w:eastAsia="ru-RU"/>
        </w:rPr>
      </w:pPr>
    </w:p>
    <w:p w14:paraId="32CA8335" w14:textId="77777777" w:rsidR="00146B73" w:rsidRPr="00C12908" w:rsidRDefault="00146B73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1E184519" w14:textId="2502102A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Համայնքի</w:t>
      </w:r>
      <w:r w:rsidR="0048354E"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ղեկավարի</w:t>
      </w:r>
      <w:r w:rsid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առաջին</w:t>
      </w:r>
      <w:r w:rsidR="0048354E"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տեղակալ և</w:t>
      </w: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տնտեսական պատասխանատու</w:t>
      </w:r>
    </w:p>
    <w:p w14:paraId="241F9671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Հեռախոսահամարը, էլեկտրոնային փոստը</w:t>
      </w:r>
    </w:p>
    <w:p w14:paraId="6ADB3607" w14:textId="77777777" w:rsidR="00473845" w:rsidRPr="00C12908" w:rsidRDefault="00473845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</w:pPr>
      <w:r w:rsidRPr="00C12908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Ա. Միրզոյան, 098 55 10 97, mirzoyan.1991@internet.ru</w:t>
      </w:r>
    </w:p>
    <w:p w14:paraId="76B4A798" w14:textId="77777777" w:rsidR="00473845" w:rsidRPr="00C12908" w:rsidRDefault="00473845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604AEA93" w14:textId="4F54C95F" w:rsidR="00114306" w:rsidRPr="00C12908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243"/>
      </w:tblGrid>
      <w:tr w:rsidR="000E1C58" w:rsidRPr="00C12908" w14:paraId="40DBC45D" w14:textId="77777777" w:rsidTr="00114306">
        <w:trPr>
          <w:tblCellSpacing w:w="7" w:type="dxa"/>
          <w:jc w:val="center"/>
        </w:trPr>
        <w:tc>
          <w:tcPr>
            <w:tcW w:w="0" w:type="auto"/>
            <w:hideMark/>
          </w:tcPr>
          <w:p w14:paraId="3515F23A" w14:textId="791C577A" w:rsidR="00114306" w:rsidRPr="00C12908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C12908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="000E1C58">
              <w:rPr>
                <w:rFonts w:ascii="Sylfaen" w:eastAsia="Times New Roman" w:hAnsi="Sylfaen" w:cs="Calibri"/>
                <w:sz w:val="21"/>
                <w:szCs w:val="21"/>
                <w:lang w:val="hy-AM" w:eastAsia="ru-RU"/>
              </w:rPr>
              <w:t xml:space="preserve">                         </w:t>
            </w:r>
            <w:r w:rsidRPr="00C12908">
              <w:rPr>
                <w:rFonts w:ascii="GHEA Grapalat" w:eastAsia="Times New Roman" w:hAnsi="GHEA Grapalat" w:cs="Times New Roman"/>
                <w:b/>
                <w:bCs/>
                <w:sz w:val="21"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25FA7955" w14:textId="6E54B45A" w:rsidR="00114306" w:rsidRPr="007B6851" w:rsidRDefault="000E1C58" w:rsidP="000E1C58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Sylfaen" w:eastAsia="Times New Roman" w:hAnsi="Sylfaen" w:cs="Calibri"/>
                <w:sz w:val="21"/>
                <w:szCs w:val="21"/>
                <w:lang w:val="hy-AM" w:eastAsia="ru-RU"/>
              </w:rPr>
              <w:t xml:space="preserve">                   </w:t>
            </w:r>
            <w:r w:rsidR="00114306" w:rsidRPr="00C12908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 </w:t>
            </w:r>
            <w:r w:rsidR="00114306" w:rsidRPr="007B6851">
              <w:rPr>
                <w:rFonts w:ascii="GHEA Grapalat" w:eastAsia="Times New Roman" w:hAnsi="GHEA Grapalat" w:cs="Times New Roman"/>
                <w:b/>
                <w:bCs/>
                <w:sz w:val="21"/>
                <w:u w:val="single"/>
                <w:lang w:eastAsia="ru-RU"/>
              </w:rPr>
              <w:t>____</w:t>
            </w:r>
            <w:r w:rsidR="007B6851" w:rsidRPr="007B6851">
              <w:rPr>
                <w:rFonts w:ascii="GHEA Grapalat" w:eastAsia="Times New Roman" w:hAnsi="GHEA Grapalat" w:cs="Times New Roman"/>
                <w:b/>
                <w:bCs/>
                <w:sz w:val="21"/>
                <w:u w:val="single"/>
                <w:lang w:val="hy-AM" w:eastAsia="ru-RU"/>
              </w:rPr>
              <w:t xml:space="preserve"> Դավիթ Ղուլունց</w:t>
            </w:r>
            <w:r w:rsidR="007B6851" w:rsidRPr="007B6851">
              <w:rPr>
                <w:rFonts w:ascii="GHEA Grapalat" w:eastAsia="Times New Roman" w:hAnsi="GHEA Grapalat" w:cs="Times New Roman"/>
                <w:b/>
                <w:bCs/>
                <w:sz w:val="21"/>
                <w:u w:val="single"/>
                <w:lang w:eastAsia="ru-RU"/>
              </w:rPr>
              <w:t xml:space="preserve"> _______</w:t>
            </w:r>
          </w:p>
          <w:p w14:paraId="150D78B0" w14:textId="6A3569FB" w:rsidR="00114306" w:rsidRPr="00C12908" w:rsidRDefault="007B6851" w:rsidP="007B685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15"/>
                <w:szCs w:val="15"/>
                <w:lang w:val="hy-AM" w:eastAsia="ru-RU"/>
              </w:rPr>
              <w:t xml:space="preserve">                              </w:t>
            </w:r>
            <w:r w:rsidR="00114306" w:rsidRPr="00C12908">
              <w:rPr>
                <w:rFonts w:ascii="GHEA Grapalat" w:eastAsia="Times New Roman" w:hAnsi="GHEA Grapalat" w:cs="Times New Roman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14:paraId="4A09081D" w14:textId="77777777" w:rsidR="00114306" w:rsidRPr="00C12908" w:rsidRDefault="00114306" w:rsidP="0011430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C9CD909" w14:textId="0108D6B8" w:rsidR="00473845" w:rsidRPr="00C12908" w:rsidRDefault="00114306" w:rsidP="007B685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12908">
        <w:rPr>
          <w:rFonts w:ascii="GHEA Grapalat" w:eastAsia="Times New Roman" w:hAnsi="GHEA Grapalat" w:cs="Times New Roman"/>
          <w:i/>
          <w:iCs/>
          <w:color w:val="000000"/>
          <w:sz w:val="21"/>
          <w:lang w:eastAsia="ru-RU"/>
        </w:rPr>
        <w:t>Կ. Տ</w:t>
      </w:r>
    </w:p>
    <w:p w14:paraId="483EE27F" w14:textId="7CCE5D37" w:rsidR="00473845" w:rsidRPr="00C12908" w:rsidRDefault="00473845" w:rsidP="0011430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5995AC79" w14:textId="77777777" w:rsidR="00FD0061" w:rsidRPr="00C12908" w:rsidRDefault="00FD0061" w:rsidP="0011430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sectPr w:rsidR="00FD0061" w:rsidRPr="00C12908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1FC"/>
    <w:multiLevelType w:val="hybridMultilevel"/>
    <w:tmpl w:val="1432072C"/>
    <w:lvl w:ilvl="0" w:tplc="8522DC0A">
      <w:start w:val="1"/>
      <w:numFmt w:val="decimal"/>
      <w:lvlText w:val="%1."/>
      <w:lvlJc w:val="left"/>
      <w:pPr>
        <w:ind w:left="5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CDC0D4F"/>
    <w:multiLevelType w:val="hybridMultilevel"/>
    <w:tmpl w:val="D2CC77AE"/>
    <w:lvl w:ilvl="0" w:tplc="AD90E44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6"/>
    <w:rsid w:val="00017A94"/>
    <w:rsid w:val="0005295B"/>
    <w:rsid w:val="00061A4D"/>
    <w:rsid w:val="000E1C58"/>
    <w:rsid w:val="0011061C"/>
    <w:rsid w:val="00114306"/>
    <w:rsid w:val="00146B73"/>
    <w:rsid w:val="0033459A"/>
    <w:rsid w:val="00367B61"/>
    <w:rsid w:val="00380910"/>
    <w:rsid w:val="003A1A15"/>
    <w:rsid w:val="003D6666"/>
    <w:rsid w:val="00401ADB"/>
    <w:rsid w:val="00420F5E"/>
    <w:rsid w:val="00473845"/>
    <w:rsid w:val="0048354E"/>
    <w:rsid w:val="004E48D1"/>
    <w:rsid w:val="005C0E29"/>
    <w:rsid w:val="00634A8B"/>
    <w:rsid w:val="0069534E"/>
    <w:rsid w:val="007B1F72"/>
    <w:rsid w:val="007B6851"/>
    <w:rsid w:val="00860C13"/>
    <w:rsid w:val="00864F53"/>
    <w:rsid w:val="008E424F"/>
    <w:rsid w:val="008F31BE"/>
    <w:rsid w:val="00994B66"/>
    <w:rsid w:val="009B5483"/>
    <w:rsid w:val="00A14E33"/>
    <w:rsid w:val="00A44F81"/>
    <w:rsid w:val="00A54A15"/>
    <w:rsid w:val="00AB7D2A"/>
    <w:rsid w:val="00AD154E"/>
    <w:rsid w:val="00AE4F31"/>
    <w:rsid w:val="00B83797"/>
    <w:rsid w:val="00BC04F5"/>
    <w:rsid w:val="00C12908"/>
    <w:rsid w:val="00C8435E"/>
    <w:rsid w:val="00CF5E84"/>
    <w:rsid w:val="00D9708C"/>
    <w:rsid w:val="00E470C1"/>
    <w:rsid w:val="00EA100C"/>
    <w:rsid w:val="00EC1382"/>
    <w:rsid w:val="00F42276"/>
    <w:rsid w:val="00FC2BF2"/>
    <w:rsid w:val="00FD006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D57A"/>
  <w15:docId w15:val="{F0111722-070F-4657-B181-B2008B7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695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0061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user16</cp:lastModifiedBy>
  <cp:revision>17</cp:revision>
  <cp:lastPrinted>2022-01-18T12:49:00Z</cp:lastPrinted>
  <dcterms:created xsi:type="dcterms:W3CDTF">2022-01-14T05:58:00Z</dcterms:created>
  <dcterms:modified xsi:type="dcterms:W3CDTF">2022-05-10T06:44:00Z</dcterms:modified>
</cp:coreProperties>
</file>