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31" w:rsidRPr="00DB0D73" w:rsidRDefault="00A44031" w:rsidP="00DB0D7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B0D73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44031" w:rsidRDefault="00DB0D73" w:rsidP="00DB0D73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«ՀԱՅԱՍՏԱՆԻ ՀԱՆՐԱՊԵՏՈՒԹՅԱՆ ՍՅՈՒՆԻՔԻ ՄԱՐԶԻ ՏԵՂ </w:t>
      </w:r>
      <w:r w:rsidR="00A44031" w:rsidRPr="00FD2CC9">
        <w:rPr>
          <w:rFonts w:ascii="GHEA Grapalat" w:hAnsi="GHEA Grapalat"/>
          <w:b/>
          <w:sz w:val="24"/>
          <w:lang w:val="hy-AM"/>
        </w:rPr>
        <w:t xml:space="preserve">ՀԱՄԱՅՆՔԻ ՎԱՐՉԱԿԱՆ </w:t>
      </w:r>
      <w:r w:rsidR="00A44031">
        <w:rPr>
          <w:rFonts w:ascii="GHEA Grapalat" w:hAnsi="GHEA Grapalat"/>
          <w:b/>
          <w:sz w:val="24"/>
          <w:lang w:val="hy-AM"/>
        </w:rPr>
        <w:t xml:space="preserve">ՏԱՐԱԾՔՈՒՄ ՀԱՆՐԱՅԻՆ ՍՆՆԴԻ ԿԱԶՄԱԿԵՐՊՄԱՆ ԵՎ ԻՐԱԿԱՆԱՑՄԱՆ ԿԱՆՈՆՆԵՐԸ ՍԱՀՄԱՆԵԼՈՒ </w:t>
      </w:r>
      <w:r w:rsidR="00A44031" w:rsidRPr="00347D40">
        <w:rPr>
          <w:rFonts w:ascii="GHEA Grapalat" w:hAnsi="GHEA Grapalat"/>
          <w:b/>
          <w:sz w:val="24"/>
          <w:lang w:val="hy-AM"/>
        </w:rPr>
        <w:t>ՄԱՍԻՆ</w:t>
      </w:r>
      <w:r>
        <w:rPr>
          <w:rFonts w:ascii="GHEA Grapalat" w:hAnsi="GHEA Grapalat"/>
          <w:b/>
          <w:sz w:val="24"/>
          <w:lang w:val="hy-AM"/>
        </w:rPr>
        <w:t>» ՏԵՂ</w:t>
      </w:r>
      <w:r w:rsidR="00A44031"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="00A44031"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:rsidR="00A44031" w:rsidRDefault="00A44031" w:rsidP="00E34160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117A58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szCs w:val="24"/>
          <w:lang w:val="hy-AM"/>
        </w:rPr>
        <w:t>18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-ին մասի 40-րդ կետի՝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համայնքի ավագանին </w:t>
      </w:r>
      <w:r w:rsidRPr="00AF0E84">
        <w:rPr>
          <w:rFonts w:ascii="GHEA Grapalat" w:hAnsi="GHEA Grapalat"/>
          <w:sz w:val="24"/>
          <w:szCs w:val="24"/>
          <w:lang w:val="hy-AM"/>
        </w:rPr>
        <w:t>սահմանում է համայնքի վարչական տարածքում հանրային սննդի կազմակերպման և իրականացման կանոնները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«Տեղական </w:t>
      </w:r>
      <w:r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szCs w:val="24"/>
          <w:lang w:val="hy-AM"/>
        </w:rPr>
        <w:t>9-րդ հոդվածը սահմանում է Հայաստանի Հանրապետության համայնքներում տեղական տուրքերի տեսակները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A44031" w:rsidRDefault="00A44031" w:rsidP="00E34160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F0E84">
        <w:rPr>
          <w:rFonts w:ascii="GHEA Grapalat" w:hAnsi="GHEA Grapalat"/>
          <w:sz w:val="24"/>
          <w:szCs w:val="24"/>
          <w:lang w:val="hy-AM"/>
        </w:rPr>
        <w:t>Համաձայն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«Տեղական </w:t>
      </w:r>
      <w:r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Pr="00AF0E84">
        <w:rPr>
          <w:rFonts w:ascii="GHEA Grapalat" w:hAnsi="GHEA Grapalat"/>
          <w:sz w:val="24"/>
          <w:szCs w:val="24"/>
          <w:lang w:val="hy-AM"/>
        </w:rPr>
        <w:t xml:space="preserve"> վերը մեջբերված հոդվածի  1-ին մասի 12-րդ կետի՝ որպես տեղական տուրքի տեսակ է սահմանված հետևյալը.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AF0E84">
        <w:rPr>
          <w:rFonts w:ascii="GHEA Grapalat" w:hAnsi="GHEA Grapalat"/>
          <w:sz w:val="24"/>
          <w:szCs w:val="24"/>
          <w:lang w:val="hy-AM"/>
        </w:rPr>
        <w:t>համայնքի վարչական տարածքում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համար.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 w:rsidRPr="00AF0E84">
        <w:rPr>
          <w:rFonts w:ascii="GHEA Grapalat" w:hAnsi="GHEA Grapalat"/>
          <w:sz w:val="24"/>
          <w:szCs w:val="24"/>
          <w:lang w:val="hy-AM"/>
        </w:rPr>
        <w:t>:</w:t>
      </w:r>
    </w:p>
    <w:p w:rsidR="00A44031" w:rsidRDefault="00A44031" w:rsidP="00E34160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AF0E84">
        <w:rPr>
          <w:rFonts w:ascii="GHEA Grapalat" w:hAnsi="GHEA Grapalat"/>
          <w:sz w:val="24"/>
          <w:szCs w:val="24"/>
          <w:lang w:val="hy-AM"/>
        </w:rPr>
        <w:t xml:space="preserve">Հարկ է նկատել, որ օրենսդիրը համայնքի ավագանու մասով առաջին հերթին սահմանել է իմպերատիվ պարտավորություն, որով վերջինս պետք է սահմանի համայնքի վարչական տարածքում հանրային սննդի կազմակերպման և իրականացման կանոնները: </w:t>
      </w:r>
    </w:p>
    <w:p w:rsidR="00A44031" w:rsidRDefault="00A44031" w:rsidP="00E3416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0E84">
        <w:rPr>
          <w:rFonts w:ascii="GHEA Grapalat" w:hAnsi="GHEA Grapalat"/>
          <w:sz w:val="24"/>
          <w:szCs w:val="24"/>
          <w:lang w:val="hy-AM"/>
        </w:rPr>
        <w:t>Միաժամանակ, համայնքի ավագանին,  հիմք ընդունելով իր կողմից նախապես սահմանված  հանրային սննդի կազմակերպման և իրականացման կանոնները, սահմանում է առանձին տեղական տուրքի տեսակ՝ տնտեսավարողի գործունեության համար առանձնացված յուրաքանչյուր վայրում հանրային սննդի կազմակերպման և իրականացման թույլտվության համար:</w:t>
      </w:r>
    </w:p>
    <w:p w:rsidR="00A44031" w:rsidRDefault="00A44031" w:rsidP="00E34160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AF0E84">
        <w:rPr>
          <w:rFonts w:ascii="GHEA Grapalat" w:hAnsi="GHEA Grapalat"/>
          <w:sz w:val="24"/>
          <w:szCs w:val="24"/>
          <w:lang w:val="hy-AM"/>
        </w:rPr>
        <w:t xml:space="preserve">Օրենսդրական վերը մեջբերված կառուցակարգերի ուսումնասիրությունը թույլ է տալիս արձանագրելու, որ համայնքի ղեկավարի կողմից համայնքի տարածքում գործունեություն իրականացնող տնտեսավարող սուբյեկտներին տրամադրվող թույլտվությունները, մասնավորապես՝ հանրային սննդի կազմակերպման և իրականացման գործունեության մասով, պետք է հիմնված լինեն բացառապես ավագանու կողմից սահմանված 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համայնքի տարածքում </w:t>
      </w:r>
      <w:r w:rsidRPr="00AF0E84">
        <w:rPr>
          <w:rFonts w:ascii="GHEA Grapalat" w:hAnsi="GHEA Grapalat"/>
          <w:sz w:val="24"/>
          <w:szCs w:val="24"/>
          <w:lang w:val="hy-AM"/>
        </w:rPr>
        <w:t>հանրային սննդի կազմակերպման և իրականացման կանոնները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 սահմանող որոշման վրա:</w:t>
      </w:r>
    </w:p>
    <w:p w:rsidR="00A44031" w:rsidRDefault="00A44031" w:rsidP="00E34160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Վերոգրյալից պարզ է դառնում, որ սույն որոշման իրավակիրառական նշանակությունը բավականին մեծ է համայնքների </w:t>
      </w:r>
      <w:r>
        <w:rPr>
          <w:rFonts w:ascii="GHEA Grapalat" w:hAnsi="GHEA Grapalat"/>
          <w:sz w:val="24"/>
          <w:szCs w:val="24"/>
          <w:lang w:val="hy-AM"/>
        </w:rPr>
        <w:t xml:space="preserve">կայուն 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կենսագործման, մասնավորապես՝ տնտեսական գործունեության ապահովման համատեքստում: Ըստ էության, սույն հիմնավորումից բխող համայնքի ավագանու որոշման նախագիծը սահմանում է համայնքի տարածքում հանրային սննդի կազնակերպման և իրականացման հիմնական վարքագծի կանոնները, որոնք իրենց </w:t>
      </w:r>
      <w:r w:rsidRPr="00910B35">
        <w:rPr>
          <w:rFonts w:ascii="GHEA Grapalat" w:hAnsi="GHEA Grapalat"/>
          <w:sz w:val="24"/>
          <w:szCs w:val="24"/>
          <w:lang w:val="hy-AM"/>
        </w:rPr>
        <w:lastRenderedPageBreak/>
        <w:t xml:space="preserve">հերթին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910B35">
        <w:rPr>
          <w:rFonts w:ascii="GHEA Grapalat" w:hAnsi="GHEA Grapalat"/>
          <w:sz w:val="24"/>
          <w:szCs w:val="24"/>
          <w:lang w:val="hy-AM"/>
        </w:rPr>
        <w:t>գալիս են թելադրելու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 համայնքի ղեկավարի՝ այդ բնագավառում իրականացվելիք վարչարարական բնույթի գործողությունների ուղղությունները և շրջանակը</w:t>
      </w:r>
      <w:r w:rsidRPr="00AF0E84">
        <w:rPr>
          <w:rFonts w:ascii="GHEA Grapalat" w:hAnsi="GHEA Grapalat"/>
          <w:sz w:val="24"/>
          <w:szCs w:val="24"/>
          <w:lang w:val="hy-AM"/>
        </w:rPr>
        <w:t>:</w:t>
      </w:r>
    </w:p>
    <w:p w:rsidR="00A44031" w:rsidRDefault="00A44031" w:rsidP="00E34160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DB0D73">
        <w:rPr>
          <w:rFonts w:ascii="GHEA Grapalat" w:hAnsi="GHEA Grapalat"/>
          <w:sz w:val="24"/>
          <w:lang w:val="hy-AM"/>
        </w:rPr>
        <w:t xml:space="preserve">«Հայաստանի Հանրապետության Սյունիքի մարզի Տեղ </w:t>
      </w:r>
      <w:r w:rsidRPr="00AF0E84">
        <w:rPr>
          <w:rFonts w:ascii="GHEA Grapalat" w:hAnsi="GHEA Grapalat"/>
          <w:sz w:val="24"/>
          <w:lang w:val="hy-AM"/>
        </w:rPr>
        <w:t xml:space="preserve">համայնքի վարչական տարածքում հանրային սննդի կազմակերպման և իրականացման կանոնները սահմանելու մասին» </w:t>
      </w:r>
      <w:r w:rsidR="00DB0D73">
        <w:rPr>
          <w:rFonts w:ascii="GHEA Grapalat" w:hAnsi="GHEA Grapalat"/>
          <w:sz w:val="24"/>
          <w:lang w:val="hy-AM"/>
        </w:rPr>
        <w:t>Տեղ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</w:t>
      </w:r>
      <w:r>
        <w:rPr>
          <w:rFonts w:ascii="GHEA Grapalat" w:hAnsi="GHEA Grapalat"/>
          <w:sz w:val="24"/>
          <w:lang w:val="hy-AM"/>
        </w:rPr>
        <w:t>նախագծով առաջարկվում է սահմանել.</w:t>
      </w:r>
    </w:p>
    <w:p w:rsidR="00A44031" w:rsidRPr="00910B35" w:rsidRDefault="00A44031" w:rsidP="00E3416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 xml:space="preserve">Այն հիմնական հասկացությունները, որոնք բխում են </w:t>
      </w:r>
      <w:r>
        <w:rPr>
          <w:rFonts w:ascii="GHEA Grapalat" w:hAnsi="GHEA Grapalat"/>
          <w:sz w:val="24"/>
          <w:lang w:val="hy-AM"/>
        </w:rPr>
        <w:t>«</w:t>
      </w:r>
      <w:r w:rsidRPr="00910B35">
        <w:rPr>
          <w:rFonts w:ascii="GHEA Grapalat" w:hAnsi="GHEA Grapalat"/>
          <w:sz w:val="24"/>
          <w:lang w:val="hy-AM"/>
        </w:rPr>
        <w:t>Առևտրի և ծառայությունների</w:t>
      </w:r>
      <w:r w:rsidRPr="00AF0E84">
        <w:rPr>
          <w:rFonts w:ascii="GHEA Grapalat" w:hAnsi="GHEA Grapalat"/>
          <w:sz w:val="24"/>
          <w:lang w:val="hy-AM"/>
        </w:rPr>
        <w:t xml:space="preserve"> մասին»</w:t>
      </w:r>
      <w:r w:rsidRPr="00910B35">
        <w:rPr>
          <w:rFonts w:ascii="GHEA Grapalat" w:hAnsi="GHEA Grapalat"/>
          <w:sz w:val="24"/>
          <w:lang w:val="hy-AM"/>
        </w:rPr>
        <w:t xml:space="preserve"> Հայաստանի Հանրապետության օրենքի 10-րդ հոդվածի կարգավորումներից.</w:t>
      </w:r>
    </w:p>
    <w:p w:rsidR="00A44031" w:rsidRPr="00910B35" w:rsidRDefault="00A44031" w:rsidP="00E3416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օբյեկտները դասակարգ</w:t>
      </w:r>
      <w:r>
        <w:rPr>
          <w:rFonts w:ascii="GHEA Grapalat" w:hAnsi="GHEA Grapalat"/>
          <w:sz w:val="24"/>
          <w:szCs w:val="24"/>
        </w:rPr>
        <w:t>ումը.</w:t>
      </w:r>
    </w:p>
    <w:p w:rsidR="00A44031" w:rsidRPr="00910B35" w:rsidRDefault="00A44031" w:rsidP="00E3416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ծառայություններ մատուցող կազմակերպությունների տեսակները.</w:t>
      </w:r>
    </w:p>
    <w:p w:rsidR="00A44031" w:rsidRPr="00910B35" w:rsidRDefault="00A44031" w:rsidP="00E3416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օբյեկտի վաճառողին և աշխատողին ներկայացվող պահանջները.</w:t>
      </w:r>
    </w:p>
    <w:p w:rsidR="00A44031" w:rsidRDefault="00A44031" w:rsidP="00E3416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>Հանրային սննդի կազմակերպման և իրականացման գործընթացի նկատմամբ վերահսկողության և պատասխանատվության հետ կապված կարգավորումները և այլն:</w:t>
      </w:r>
    </w:p>
    <w:p w:rsidR="00A44031" w:rsidRDefault="00A44031" w:rsidP="00E34160">
      <w:pPr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 xml:space="preserve">Սույն որոշման ընդունման արդյունքում, ենթաօրենսդրական նորմատիվ իրավական ակտով կկարգավորվի համայնքի վարչական տարածքում հանրային սննդի կազմակերպման և իրականացման հետ կապված ընթացակարգային բնույթի իրավահարաբերությունները, միաժամանակ, կստեղվծեն օրենսդրական հիմքեր համայնքիի ղեկավարի համար, համայնքի տարածքում հանրային սննդի կազմակերպման և իրականացման թույլտվություններ տրամադրելու մասով: </w:t>
      </w:r>
    </w:p>
    <w:p w:rsidR="00A44031" w:rsidRDefault="00A44031" w:rsidP="00E34160">
      <w:pPr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 xml:space="preserve">Բացի իրավական կարգավորումների սահմանման անհրաժեշտությունից, սույն որոշման ընդունման անհրաժեշտությունը պայմանավորված է նաև համայնքում տնտեսական գործունեության խրախուսման և կանոնակարգման անհրաժեշտությամբ: </w:t>
      </w:r>
    </w:p>
    <w:p w:rsidR="00A44031" w:rsidRDefault="00A44031" w:rsidP="00E34160">
      <w:pPr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>Սույն հիմնավորումից բխող համայնքի ավագանու որոշման նախագծի ընդունումը միտված է նաև ապահովելու «Տեղական ինքնակառավարման մասին» Հայաստանի Հանրապետության  օրենքի</w:t>
      </w:r>
      <w:r>
        <w:rPr>
          <w:rFonts w:ascii="GHEA Grapalat" w:hAnsi="GHEA Grapalat"/>
          <w:sz w:val="24"/>
          <w:szCs w:val="24"/>
          <w:lang w:val="hy-AM"/>
        </w:rPr>
        <w:t xml:space="preserve"> 12</w:t>
      </w:r>
      <w:r w:rsidRPr="00115B56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 xml:space="preserve"> հոդվածով սահմանված մի շարք համայնքի պարտադիր խնդիրների լուծմանը, մասնավորապես, նկատի ունենալով հետևյալ պարտադիր խնդիրները</w:t>
      </w:r>
    </w:p>
    <w:p w:rsidR="00A44031" w:rsidRDefault="00A44031" w:rsidP="00E34160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կայուն զարգացումը.</w:t>
      </w:r>
    </w:p>
    <w:p w:rsidR="00A44031" w:rsidRPr="00DB0D73" w:rsidRDefault="00A44031" w:rsidP="00AC432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DB0D73">
        <w:rPr>
          <w:rFonts w:ascii="GHEA Grapalat" w:hAnsi="GHEA Grapalat"/>
          <w:sz w:val="24"/>
          <w:szCs w:val="24"/>
          <w:lang w:val="hy-AM"/>
        </w:rPr>
        <w:t>Գործարար միջավայրի բարելավումը և ձեռնարկատիրության խթանումը:</w:t>
      </w:r>
    </w:p>
    <w:p w:rsidR="00A44031" w:rsidRDefault="00A44031" w:rsidP="00E34160">
      <w:pPr>
        <w:rPr>
          <w:rFonts w:ascii="GHEA Grapalat" w:hAnsi="GHEA Grapalat"/>
          <w:sz w:val="24"/>
          <w:szCs w:val="24"/>
          <w:lang w:val="hy-AM"/>
        </w:rPr>
      </w:pPr>
    </w:p>
    <w:p w:rsidR="00A44031" w:rsidRDefault="00A44031" w:rsidP="00E34160">
      <w:pPr>
        <w:rPr>
          <w:rFonts w:ascii="GHEA Grapalat" w:hAnsi="GHEA Grapalat"/>
          <w:sz w:val="24"/>
          <w:szCs w:val="24"/>
          <w:lang w:val="hy-AM"/>
        </w:rPr>
      </w:pPr>
    </w:p>
    <w:p w:rsidR="00A44031" w:rsidRDefault="00A44031" w:rsidP="00E34160">
      <w:pPr>
        <w:rPr>
          <w:rFonts w:ascii="GHEA Grapalat" w:hAnsi="GHEA Grapalat"/>
          <w:sz w:val="24"/>
          <w:szCs w:val="24"/>
          <w:lang w:val="hy-AM"/>
        </w:rPr>
      </w:pPr>
    </w:p>
    <w:p w:rsidR="00A44031" w:rsidRDefault="00A44031" w:rsidP="00E34160">
      <w:pPr>
        <w:rPr>
          <w:rFonts w:ascii="GHEA Grapalat" w:hAnsi="GHEA Grapalat"/>
          <w:sz w:val="24"/>
          <w:szCs w:val="24"/>
          <w:lang w:val="hy-AM"/>
        </w:rPr>
      </w:pPr>
    </w:p>
    <w:p w:rsidR="00A44031" w:rsidRDefault="00A44031" w:rsidP="00E34160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Default="00A44031" w:rsidP="00E34160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Default="00A44031" w:rsidP="00E34160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Default="00A44031" w:rsidP="00E34160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Default="00A44031" w:rsidP="00E34160">
      <w:pPr>
        <w:spacing w:after="0"/>
        <w:rPr>
          <w:rFonts w:ascii="GHEA Grapalat" w:hAnsi="GHEA Grapalat"/>
          <w:b/>
          <w:sz w:val="28"/>
          <w:lang w:val="hy-AM"/>
        </w:rPr>
      </w:pPr>
    </w:p>
    <w:p w:rsidR="00DB0D73" w:rsidRDefault="00DB0D73" w:rsidP="00E34160">
      <w:pPr>
        <w:spacing w:after="0"/>
        <w:rPr>
          <w:rFonts w:ascii="GHEA Grapalat" w:hAnsi="GHEA Grapalat"/>
          <w:b/>
          <w:sz w:val="28"/>
          <w:lang w:val="hy-AM"/>
        </w:rPr>
      </w:pPr>
      <w:bookmarkStart w:id="0" w:name="_GoBack"/>
      <w:bookmarkEnd w:id="0"/>
    </w:p>
    <w:p w:rsidR="00DB0D73" w:rsidRDefault="00DB0D73" w:rsidP="00E3416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44031" w:rsidRPr="00DB0D73" w:rsidRDefault="00A44031" w:rsidP="00E3416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B0D73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44031" w:rsidRPr="00AE54BC" w:rsidRDefault="00A44031" w:rsidP="00E34160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AF0E84">
        <w:rPr>
          <w:rFonts w:ascii="GHEA Grapalat" w:hAnsi="GHEA Grapalat"/>
          <w:b/>
          <w:sz w:val="24"/>
          <w:lang w:val="hy-AM"/>
        </w:rPr>
        <w:t>«</w:t>
      </w:r>
      <w:r w:rsidR="00DB0D73">
        <w:rPr>
          <w:rFonts w:ascii="GHEA Grapalat" w:hAnsi="GHEA Grapalat"/>
          <w:b/>
          <w:sz w:val="24"/>
          <w:lang w:val="hy-AM"/>
        </w:rPr>
        <w:t>ՀԱՅԱՍՏԱՆԻ ՀԱՆՐԱՊԵՏՈՒԹՅԱՆ ՍՅՈՒՆԻՔԻ ՄԱՐԶԻ ՏԵՂ</w:t>
      </w:r>
      <w:r w:rsidRPr="00AF0E84">
        <w:rPr>
          <w:rFonts w:ascii="GHEA Grapalat" w:hAnsi="GHEA Grapalat"/>
          <w:b/>
          <w:sz w:val="24"/>
          <w:lang w:val="hy-AM"/>
        </w:rPr>
        <w:t xml:space="preserve"> </w:t>
      </w:r>
      <w:r w:rsidRPr="00AF0E84">
        <w:rPr>
          <w:rFonts w:ascii="GHEA Grapalat" w:hAnsi="GHEA Grapalat"/>
          <w:b/>
          <w:sz w:val="24"/>
          <w:lang w:val="hy-AM"/>
        </w:rPr>
        <w:t>ՀԱՄԱՅՆՔԻ ՎԱՐՉԱԿԱՆ ՏԱՐԱԾՔՈՒՄ ՀԱՆՐԱՅԻՆ ՍՆՆԴԻ ԿԱԶՄԱԿԵՐՊՄԱՆ ԵՎ ԻՐԱԿԱՆԱՑՄԱՆ ԿԱՆՈՆՆԵՐԸ ՍԱՀՄԱՆԵԼՈՒ ՄԱՍԻՆ»</w:t>
      </w:r>
      <w:r w:rsidR="00DB0D73">
        <w:rPr>
          <w:rFonts w:ascii="GHEA Grapalat" w:hAnsi="GHEA Grapalat"/>
          <w:b/>
          <w:sz w:val="24"/>
          <w:lang w:val="hy-AM"/>
        </w:rPr>
        <w:t xml:space="preserve"> ՏԵՂ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ԱՌՆՉՈՒԹՅԱՄԲ ԱՅԼ ԻՐԱՎԱԿԱՆ ԱԿՏԵՐԻ </w:t>
      </w:r>
      <w:r>
        <w:rPr>
          <w:rFonts w:ascii="GHEA Grapalat" w:hAnsi="GHEA Grapalat"/>
          <w:b/>
          <w:sz w:val="24"/>
          <w:lang w:val="hy-AM"/>
        </w:rPr>
        <w:t>ԸՆԴՈՒՆՄԱՆ ԱՆՀՐԱԺԵՇՏՈՒԹՅԱՆ ՄԱՍԻՆ</w:t>
      </w:r>
    </w:p>
    <w:p w:rsidR="00A44031" w:rsidRDefault="00A44031" w:rsidP="00E34160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="00DB0D73">
        <w:rPr>
          <w:rFonts w:ascii="GHEA Grapalat" w:hAnsi="GHEA Grapalat"/>
          <w:sz w:val="24"/>
          <w:lang w:val="hy-AM"/>
        </w:rPr>
        <w:t xml:space="preserve">Հայաստանի Հանրապետության Սյունիքի մարզի Տեղ </w:t>
      </w:r>
      <w:r w:rsidRPr="00AE54BC">
        <w:rPr>
          <w:rFonts w:ascii="GHEA Grapalat" w:hAnsi="GHEA Grapalat"/>
          <w:sz w:val="24"/>
          <w:lang w:val="hy-AM"/>
        </w:rPr>
        <w:t xml:space="preserve">համայնքի վարչական </w:t>
      </w:r>
      <w:r>
        <w:rPr>
          <w:rFonts w:ascii="GHEA Grapalat" w:hAnsi="GHEA Grapalat"/>
          <w:sz w:val="24"/>
          <w:lang w:val="hy-AM"/>
        </w:rPr>
        <w:t>տարածքում հանրային սննդի կազմակերպման և իրականացման կանոնները սահմանելու մասին</w:t>
      </w:r>
      <w:r w:rsidR="00DB0D73">
        <w:rPr>
          <w:rFonts w:ascii="GHEA Grapalat" w:hAnsi="GHEA Grapalat"/>
          <w:sz w:val="24"/>
          <w:lang w:val="hy-AM"/>
        </w:rPr>
        <w:t>» Տեղ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</w:t>
      </w:r>
      <w:r>
        <w:rPr>
          <w:rFonts w:ascii="GHEA Grapalat" w:hAnsi="GHEA Grapalat"/>
          <w:sz w:val="24"/>
          <w:lang w:val="hy-AM"/>
        </w:rPr>
        <w:t xml:space="preserve">անհրաժեշտություն չի առաջանում: </w:t>
      </w:r>
    </w:p>
    <w:p w:rsidR="00DB0D73" w:rsidRDefault="00DB0D73" w:rsidP="00E34160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DB0D73" w:rsidRDefault="00DB0D73" w:rsidP="00E34160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DB0D73" w:rsidRDefault="00DB0D73" w:rsidP="00E34160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A44031" w:rsidRPr="00AE54BC" w:rsidRDefault="00A44031" w:rsidP="00E34160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A44031" w:rsidRPr="00DB0D73" w:rsidRDefault="00A44031" w:rsidP="00E3416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B0D73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44031" w:rsidRDefault="00A44031" w:rsidP="00E34160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AF0E84">
        <w:rPr>
          <w:rFonts w:ascii="GHEA Grapalat" w:hAnsi="GHEA Grapalat"/>
          <w:b/>
          <w:sz w:val="24"/>
          <w:lang w:val="hy-AM"/>
        </w:rPr>
        <w:t>«</w:t>
      </w:r>
      <w:r w:rsidR="00DB0D73">
        <w:rPr>
          <w:rFonts w:ascii="GHEA Grapalat" w:hAnsi="GHEA Grapalat"/>
          <w:b/>
          <w:sz w:val="24"/>
          <w:lang w:val="hy-AM"/>
        </w:rPr>
        <w:t>ՀԱՅԱՍՏԱՆԻ ՀԱՆՐԱՊԵՏՈՒԹՅԱՆ ՍՅՈՒՆԻՔԻ ՄԱՐԶԻ ՏԵՂ</w:t>
      </w:r>
      <w:r w:rsidRPr="00AF0E84">
        <w:rPr>
          <w:rFonts w:ascii="GHEA Grapalat" w:hAnsi="GHEA Grapalat"/>
          <w:b/>
          <w:sz w:val="24"/>
          <w:lang w:val="hy-AM"/>
        </w:rPr>
        <w:t xml:space="preserve"> </w:t>
      </w:r>
      <w:r w:rsidRPr="00AF0E84">
        <w:rPr>
          <w:rFonts w:ascii="GHEA Grapalat" w:hAnsi="GHEA Grapalat"/>
          <w:b/>
          <w:sz w:val="24"/>
          <w:lang w:val="hy-AM"/>
        </w:rPr>
        <w:t xml:space="preserve">ՀԱՄԱՅՆՔԻ ՎԱՐՉԱԿԱՆ ՏԱՐԱԾՔՈՒՄ ՀԱՆՐԱՅԻՆ ՍՆՆԴԻ ԿԱԶՄԱԿԵՐՊՄԱՆ ԵՎ ԻՐԱԿԱՆԱՑՄԱՆ ԿԱՆՈՆՆԵՐԸ ՍԱՀՄԱՆԵԼՈՒ ՄԱՍԻՆ» </w:t>
      </w:r>
      <w:r w:rsidR="00DB0D73">
        <w:rPr>
          <w:rFonts w:ascii="GHEA Grapalat" w:hAnsi="GHEA Grapalat"/>
          <w:b/>
          <w:sz w:val="24"/>
          <w:lang w:val="hy-AM"/>
        </w:rPr>
        <w:t>ՏԵՂ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</w:t>
      </w:r>
      <w:r w:rsidR="00DB0D73">
        <w:rPr>
          <w:rFonts w:ascii="GHEA Grapalat" w:hAnsi="GHEA Grapalat"/>
          <w:b/>
          <w:sz w:val="24"/>
          <w:lang w:val="hy-AM"/>
        </w:rPr>
        <w:t xml:space="preserve"> ՏԵՂ </w:t>
      </w:r>
      <w:r w:rsidRPr="00347D40">
        <w:rPr>
          <w:rFonts w:ascii="GHEA Grapalat" w:hAnsi="GHEA Grapalat"/>
          <w:b/>
          <w:sz w:val="24"/>
          <w:lang w:val="hy-AM"/>
        </w:rPr>
        <w:t>ՀԱՄԱՅՆՔԻ ԲՅՈՒՋԵՈՒՄ ԵԿԱՄՈՒՏՆԵՐԻ ԵՎ ԾԱԽՍԵՐԻ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ԱՎԵԼԱՑՄԱՆ ԿԱՄ ՆՎԱԶԵՑՄԱՆ ՄԱՍԻՆ</w:t>
      </w:r>
    </w:p>
    <w:p w:rsidR="00A44031" w:rsidRPr="00AE54BC" w:rsidRDefault="00A44031" w:rsidP="00E34160">
      <w:pPr>
        <w:spacing w:after="0"/>
        <w:jc w:val="center"/>
        <w:rPr>
          <w:rFonts w:ascii="GHEA Grapalat" w:hAnsi="GHEA Grapalat"/>
          <w:sz w:val="24"/>
          <w:lang w:val="hy-AM"/>
        </w:rPr>
      </w:pPr>
    </w:p>
    <w:p w:rsidR="00A44031" w:rsidRDefault="00A44031" w:rsidP="00E34160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AF0E84">
        <w:rPr>
          <w:rFonts w:ascii="GHEA Grapalat" w:hAnsi="GHEA Grapalat"/>
          <w:sz w:val="24"/>
          <w:lang w:val="hy-AM"/>
        </w:rPr>
        <w:t>«</w:t>
      </w:r>
      <w:r w:rsidR="00DB0D73">
        <w:rPr>
          <w:rFonts w:ascii="GHEA Grapalat" w:hAnsi="GHEA Grapalat"/>
          <w:sz w:val="24"/>
          <w:lang w:val="hy-AM"/>
        </w:rPr>
        <w:t xml:space="preserve">Հայաստանի Հանրապետության Սյունիքի մարզի Տեղ </w:t>
      </w:r>
      <w:r w:rsidRPr="00AF0E84">
        <w:rPr>
          <w:rFonts w:ascii="GHEA Grapalat" w:hAnsi="GHEA Grapalat"/>
          <w:sz w:val="24"/>
          <w:lang w:val="hy-AM"/>
        </w:rPr>
        <w:t>համայնքի վարչական տարածքում հանրային սննդի կազմակերպման և իրականացման կանոնները սահմանելու մասին</w:t>
      </w:r>
      <w:r w:rsidR="00DB0D73">
        <w:rPr>
          <w:rFonts w:ascii="GHEA Grapalat" w:hAnsi="GHEA Grapalat"/>
          <w:sz w:val="24"/>
          <w:lang w:val="hy-AM"/>
        </w:rPr>
        <w:t>» Տեղ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</w:t>
      </w:r>
      <w:r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="00DB0D73">
        <w:rPr>
          <w:rFonts w:ascii="GHEA Grapalat" w:hAnsi="GHEA Grapalat" w:cs="Sylfaen"/>
          <w:sz w:val="24"/>
          <w:lang w:val="hy-AM"/>
        </w:rPr>
        <w:t xml:space="preserve"> Տեղ</w:t>
      </w:r>
      <w:r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>
        <w:rPr>
          <w:rFonts w:ascii="GHEA Grapalat" w:hAnsi="GHEA Grapalat"/>
          <w:sz w:val="24"/>
          <w:lang w:val="hy-AM"/>
        </w:rPr>
        <w:t>։</w:t>
      </w:r>
    </w:p>
    <w:p w:rsidR="00DB0D73" w:rsidRDefault="00DB0D73" w:rsidP="00E34160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DB0D73" w:rsidRDefault="00DB0D73" w:rsidP="00E34160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A44031" w:rsidRPr="00AE54BC" w:rsidRDefault="00A44031" w:rsidP="00E34160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DB0D73" w:rsidRPr="00E34160" w:rsidRDefault="00DB0D73" w:rsidP="00DB0D73">
      <w:pPr>
        <w:pStyle w:val="ListParagraph"/>
        <w:ind w:left="0" w:firstLine="284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E34160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ՂԵԿԱՎԱՐ                  ԴԱՎԻԹ ՂՈՒԼՈՒՆՑ</w:t>
      </w:r>
    </w:p>
    <w:p w:rsidR="00A44031" w:rsidRPr="00C16463" w:rsidRDefault="00A44031" w:rsidP="00E34160">
      <w:pPr>
        <w:pStyle w:val="ListParagraph"/>
        <w:ind w:left="0" w:firstLine="284"/>
        <w:jc w:val="both"/>
        <w:rPr>
          <w:rFonts w:ascii="GHEA Grapalat" w:hAnsi="GHEA Grapalat"/>
          <w:lang w:val="hy-AM"/>
        </w:rPr>
      </w:pPr>
    </w:p>
    <w:p w:rsidR="00D50A22" w:rsidRDefault="00D50A22" w:rsidP="00E34160"/>
    <w:sectPr w:rsidR="00D50A22" w:rsidSect="00DB0D73">
      <w:pgSz w:w="11906" w:h="16838"/>
      <w:pgMar w:top="450" w:right="656" w:bottom="45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F1583"/>
    <w:multiLevelType w:val="hybridMultilevel"/>
    <w:tmpl w:val="09CC57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FE"/>
    <w:rsid w:val="004413FE"/>
    <w:rsid w:val="00A44031"/>
    <w:rsid w:val="00D50A22"/>
    <w:rsid w:val="00DB0D73"/>
    <w:rsid w:val="00E3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8150"/>
  <w15:chartTrackingRefBased/>
  <w15:docId w15:val="{FC253D7D-E844-4D15-A1E2-2BBAE4FB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31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user16</cp:lastModifiedBy>
  <cp:revision>4</cp:revision>
  <dcterms:created xsi:type="dcterms:W3CDTF">2021-07-04T10:06:00Z</dcterms:created>
  <dcterms:modified xsi:type="dcterms:W3CDTF">2022-02-05T08:37:00Z</dcterms:modified>
</cp:coreProperties>
</file>